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adjustRightInd/>
        <w:snapToGrid/>
        <w:spacing w:before="0" w:after="0" w:line="70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202</w:t>
      </w:r>
      <w:r>
        <w:rPr>
          <w:rFonts w:hint="eastAsia" w:ascii="方正小标宋简体" w:hAnsi="方正小标宋简体" w:eastAsia="方正小标宋简体" w:cs="方正小标宋简体"/>
          <w:b w:val="0"/>
          <w:bCs w:val="0"/>
          <w:color w:val="auto"/>
          <w:kern w:val="0"/>
          <w:sz w:val="44"/>
          <w:szCs w:val="44"/>
          <w:lang w:val="en-US" w:eastAsia="zh-CN"/>
        </w:rPr>
        <w:t>1</w:t>
      </w:r>
      <w:r>
        <w:rPr>
          <w:rFonts w:hint="eastAsia" w:ascii="方正小标宋简体" w:hAnsi="方正小标宋简体" w:eastAsia="方正小标宋简体" w:cs="方正小标宋简体"/>
          <w:b w:val="0"/>
          <w:bCs w:val="0"/>
          <w:color w:val="auto"/>
          <w:kern w:val="0"/>
          <w:sz w:val="44"/>
          <w:szCs w:val="44"/>
        </w:rPr>
        <w:t>年度政府信息公开工作年度报告</w:t>
      </w:r>
    </w:p>
    <w:p>
      <w:pPr>
        <w:widowControl/>
        <w:shd w:val="clear" w:color="auto" w:fill="FFFFFF"/>
        <w:wordWrap/>
        <w:adjustRightInd/>
        <w:snapToGrid/>
        <w:spacing w:before="0" w:after="0" w:line="700" w:lineRule="exact"/>
        <w:ind w:left="0" w:leftChars="0" w:right="0" w:firstLine="0" w:firstLineChars="0"/>
        <w:jc w:val="center"/>
        <w:textAlignment w:val="auto"/>
        <w:outlineLvl w:val="3"/>
        <w:rPr>
          <w:rFonts w:hint="eastAsia" w:ascii="方正小标宋简体" w:hAnsi="方正小标宋简体" w:eastAsia="方正小标宋简体" w:cs="方正小标宋简体"/>
          <w:b w:val="0"/>
          <w:bCs w:val="0"/>
          <w:color w:val="auto"/>
          <w:kern w:val="0"/>
          <w:sz w:val="44"/>
          <w:szCs w:val="44"/>
        </w:rPr>
      </w:pP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修订后的《中华人民共和国政府信息公开条例》规定，住建局特编制本报告。全文由总体情况、主动公开政府信息情况、收到和处理政府信息公开申请情况、政府信息公开行政复议行政诉讼情况、存在的主要问题及改进情况、其他需要报告的事项六部分组成。本报告中所列数据的统计期限自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年1月1日起，至202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年12月31日止。</w:t>
      </w: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黑体" w:cs="仿宋_GB2312"/>
          <w:color w:val="auto"/>
          <w:kern w:val="0"/>
          <w:sz w:val="32"/>
          <w:szCs w:val="32"/>
          <w:lang w:eastAsia="zh-CN"/>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eastAsia="zh-CN"/>
        </w:rPr>
        <w:t>总体情况</w:t>
      </w:r>
    </w:p>
    <w:p>
      <w:pPr>
        <w:widowControl/>
        <w:shd w:val="clear" w:color="auto" w:fill="FFFFFF"/>
        <w:wordWrap/>
        <w:adjustRightInd/>
        <w:snapToGrid/>
        <w:spacing w:before="0" w:beforeAutospacing="0" w:after="0" w:afterAutospacing="0" w:line="56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2021年，长白山管委会住房和城乡建设局坚持以习近平新时代中国特色社会主义思想为指导，认真贯彻落实党中央、国务院关于政府信息公开工作各项决策部署和《政府信息公开条例》，坚持以公开为常态、不公开为例外，不断深化政府信息公开工作。</w:t>
      </w:r>
      <w:r>
        <w:rPr>
          <w:rFonts w:hint="eastAsia" w:ascii="仿宋_GB2312" w:hAnsi="仿宋_GB2312" w:eastAsia="仿宋_GB2312" w:cs="仿宋_GB2312"/>
          <w:color w:val="auto"/>
          <w:kern w:val="0"/>
          <w:sz w:val="32"/>
          <w:szCs w:val="32"/>
        </w:rPr>
        <w:t xml:space="preserve">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（一）组织推动政府信息公开工作。</w:t>
      </w:r>
      <w:r>
        <w:rPr>
          <w:rFonts w:hint="eastAsia" w:ascii="仿宋_GB2312" w:hAnsi="仿宋_GB2312" w:eastAsia="仿宋_GB2312" w:cs="仿宋_GB2312"/>
          <w:color w:val="auto"/>
          <w:kern w:val="0"/>
          <w:sz w:val="32"/>
          <w:szCs w:val="32"/>
        </w:rPr>
        <w:t xml:space="preserve">为切实贯彻落实党中央、国务院和省委、省政府关于全面推进政务公开和优化政务服务的决策部署，围绕权力运行全流程、政务服务全过程，积极推进基层政务公开标准化规范化，使本项工作更加公开透明，促进人民群众对公开事项的理解、信任和支持，增强政府公信力。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（二）积极推动政府信息主动公开。</w:t>
      </w:r>
      <w:r>
        <w:rPr>
          <w:rFonts w:hint="eastAsia" w:ascii="仿宋_GB2312" w:hAnsi="仿宋_GB2312" w:eastAsia="仿宋_GB2312" w:cs="仿宋_GB2312"/>
          <w:color w:val="auto"/>
          <w:kern w:val="0"/>
          <w:sz w:val="32"/>
          <w:szCs w:val="32"/>
        </w:rPr>
        <w:t>始终坚持“以公开为常态，以不公开为例外”的原则，全面推进行政决策、执行、管理、服务、结果公开。 长白山</w:t>
      </w:r>
      <w:r>
        <w:rPr>
          <w:rFonts w:hint="eastAsia" w:ascii="仿宋_GB2312" w:hAnsi="仿宋_GB2312" w:eastAsia="仿宋_GB2312" w:cs="仿宋_GB2312"/>
          <w:color w:val="auto"/>
          <w:kern w:val="0"/>
          <w:sz w:val="32"/>
          <w:szCs w:val="32"/>
          <w:lang w:eastAsia="zh-CN"/>
        </w:rPr>
        <w:t>管委会住建</w:t>
      </w:r>
      <w:r>
        <w:rPr>
          <w:rFonts w:hint="eastAsia" w:ascii="仿宋_GB2312" w:hAnsi="仿宋_GB2312" w:eastAsia="仿宋_GB2312" w:cs="仿宋_GB2312"/>
          <w:color w:val="auto"/>
          <w:kern w:val="0"/>
          <w:sz w:val="32"/>
          <w:szCs w:val="32"/>
        </w:rPr>
        <w:t>局主动公开政务信息</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条,其中其他信息</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条。</w:t>
      </w:r>
      <w:r>
        <w:rPr>
          <w:rFonts w:ascii="宋体" w:hAnsi="宋体" w:eastAsia="宋体" w:cs="宋体"/>
          <w:i w:val="0"/>
          <w:iCs w:val="0"/>
          <w:caps w:val="0"/>
          <w:color w:val="000000"/>
          <w:spacing w:val="0"/>
          <w:sz w:val="24"/>
          <w:szCs w:val="24"/>
          <w:shd w:val="clear" w:fill="FFFFFF"/>
        </w:rPr>
        <w:t>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（三）认真规范处理依申请公开。</w:t>
      </w:r>
      <w:r>
        <w:rPr>
          <w:rFonts w:hint="eastAsia" w:ascii="仿宋_GB2312" w:hAnsi="仿宋_GB2312" w:eastAsia="仿宋_GB2312" w:cs="仿宋_GB2312"/>
          <w:color w:val="auto"/>
          <w:kern w:val="0"/>
          <w:sz w:val="32"/>
          <w:szCs w:val="32"/>
        </w:rPr>
        <w:t xml:space="preserve"> 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年住建局未收到公众要求本部门政府信息公开的申请。</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（四）不断强化政府信息公开平台内容保障。</w:t>
      </w:r>
      <w:r>
        <w:rPr>
          <w:rFonts w:hint="eastAsia" w:ascii="仿宋_GB2312" w:hAnsi="仿宋_GB2312" w:eastAsia="仿宋_GB2312" w:cs="仿宋_GB2312"/>
          <w:color w:val="auto"/>
          <w:kern w:val="0"/>
          <w:sz w:val="32"/>
          <w:szCs w:val="32"/>
        </w:rPr>
        <w:t xml:space="preserve">进一步调整政务公开工作领导小组，进一步加强对政务公开工作的组织领导，推进政务公开制度化、规范化建设。依法及时主动向社会公开各类信息。严抓信息公开质量，结合工作特点，加大各类公开信息的保密审查力度，坚持先审查后公开、一事一审、审查全覆盖，确保信息公开依法合规。 </w:t>
      </w:r>
    </w:p>
    <w:p>
      <w:pPr>
        <w:widowControl/>
        <w:shd w:val="clear" w:color="auto" w:fill="FFFFFF"/>
        <w:wordWrap/>
        <w:adjustRightInd/>
        <w:snapToGrid/>
        <w:spacing w:before="0" w:beforeAutospacing="0" w:after="0" w:afterAutospacing="0" w:line="560" w:lineRule="exact"/>
        <w:ind w:left="0" w:leftChars="0" w:right="0" w:firstLine="562"/>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）全力做好宣传培训评估考核等基础工作。</w:t>
      </w:r>
      <w:r>
        <w:rPr>
          <w:rFonts w:hint="eastAsia" w:ascii="仿宋_GB2312" w:hAnsi="仿宋_GB2312" w:eastAsia="仿宋_GB2312" w:cs="仿宋_GB2312"/>
          <w:color w:val="auto"/>
          <w:kern w:val="0"/>
          <w:sz w:val="32"/>
          <w:szCs w:val="32"/>
        </w:rPr>
        <w:t>大力强化宣传培训。开展多种形式的宣传活动，提高公众对政府信息公开的知晓度和参与度。加强政府信息公开业务学习和培训，建立完善横向联系、纵向指导的沟通协调机制，不断提升政府信息公开整体工作水平。</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二、主动公开政府信息情况 </w:t>
      </w:r>
    </w:p>
    <w:tbl>
      <w:tblPr>
        <w:tblStyle w:val="2"/>
        <w:tblpPr w:leftFromText="180" w:rightFromText="180" w:vertAnchor="text" w:horzAnchor="page" w:tblpX="2013" w:tblpY="185"/>
        <w:tblOverlap w:val="never"/>
        <w:tblW w:w="814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05"/>
        <w:gridCol w:w="1904"/>
        <w:gridCol w:w="1446"/>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仿宋_GB2312" w:hAnsi="宋体" w:eastAsia="宋体" w:cs="宋体"/>
                <w:kern w:val="0"/>
                <w:sz w:val="32"/>
                <w:szCs w:val="32"/>
                <w:lang w:eastAsia="zh-CN"/>
              </w:rPr>
            </w:pPr>
            <w:r>
              <w:rPr>
                <w:rFonts w:hint="eastAsia" w:ascii="宋体" w:hAnsi="宋体" w:eastAsia="宋体" w:cs="宋体"/>
                <w:kern w:val="0"/>
                <w:sz w:val="20"/>
                <w:szCs w:val="20"/>
              </w:rPr>
              <w:t>本年</w:t>
            </w:r>
            <w:r>
              <w:rPr>
                <w:rFonts w:hint="eastAsia" w:ascii="宋体" w:hAnsi="宋体" w:cs="宋体"/>
                <w:kern w:val="0"/>
                <w:sz w:val="20"/>
                <w:szCs w:val="20"/>
                <w:lang w:eastAsia="zh-CN"/>
              </w:rPr>
              <w:t>制发件数</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cs="宋体"/>
                <w:kern w:val="0"/>
                <w:sz w:val="20"/>
                <w:szCs w:val="20"/>
                <w:lang w:eastAsia="zh-CN"/>
              </w:rPr>
              <w:t>本年废止件数</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cs="宋体"/>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规章</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规范性文件</w:t>
            </w:r>
          </w:p>
        </w:tc>
        <w:tc>
          <w:tcPr>
            <w:tcW w:w="190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c>
          <w:tcPr>
            <w:tcW w:w="144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c>
          <w:tcPr>
            <w:tcW w:w="16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行政许可</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240" w:lineRule="auto"/>
              <w:jc w:val="center"/>
              <w:rPr>
                <w:rFonts w:hint="default" w:ascii="仿宋_GB2312" w:hAnsi="宋体" w:eastAsia="仿宋_GB2312" w:cs="宋体"/>
                <w:kern w:val="0"/>
                <w:sz w:val="32"/>
                <w:szCs w:val="32"/>
                <w:lang w:val="en-US" w:eastAsia="zh-CN"/>
              </w:rPr>
            </w:pPr>
            <w:r>
              <w:rPr>
                <w:rFonts w:hint="eastAsia" w:ascii="宋体" w:hAnsi="宋体" w:cs="宋体"/>
                <w:kern w:val="0"/>
                <w:sz w:val="20"/>
                <w:szCs w:val="20"/>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行政处罚</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行政强制</w:t>
            </w:r>
          </w:p>
        </w:tc>
        <w:tc>
          <w:tcPr>
            <w:tcW w:w="504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27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信息内容</w:t>
            </w:r>
          </w:p>
        </w:tc>
        <w:tc>
          <w:tcPr>
            <w:tcW w:w="5040" w:type="dxa"/>
            <w:gridSpan w:val="3"/>
            <w:tcBorders>
              <w:top w:val="nil"/>
              <w:left w:val="nil"/>
              <w:bottom w:val="single" w:color="auto" w:sz="6" w:space="0"/>
              <w:right w:val="single" w:color="000000" w:sz="6" w:space="0"/>
            </w:tcBorders>
            <w:tcMar>
              <w:top w:w="0" w:type="dxa"/>
              <w:left w:w="105" w:type="dxa"/>
              <w:bottom w:w="0" w:type="dxa"/>
              <w:right w:w="105" w:type="dxa"/>
            </w:tcMar>
            <w:vAlign w:val="center"/>
          </w:tcPr>
          <w:p>
            <w:pPr>
              <w:widowControl/>
              <w:spacing w:after="180" w:line="270" w:lineRule="atLeast"/>
              <w:jc w:val="center"/>
              <w:rPr>
                <w:rFonts w:hint="eastAsia" w:ascii="仿宋_GB2312" w:hAnsi="宋体" w:eastAsia="仿宋_GB2312" w:cs="宋体"/>
                <w:kern w:val="0"/>
                <w:sz w:val="32"/>
                <w:szCs w:val="32"/>
                <w:lang w:eastAsia="zh-CN"/>
              </w:rPr>
            </w:pPr>
            <w:r>
              <w:rPr>
                <w:rFonts w:hint="eastAsia" w:ascii="宋体" w:hAnsi="宋体" w:eastAsia="宋体" w:cs="宋体"/>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0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行政事业性收费</w:t>
            </w:r>
          </w:p>
        </w:tc>
        <w:tc>
          <w:tcPr>
            <w:tcW w:w="5040" w:type="dxa"/>
            <w:gridSpan w:val="3"/>
            <w:tcBorders>
              <w:top w:val="nil"/>
              <w:left w:val="nil"/>
              <w:bottom w:val="single" w:color="auto" w:sz="6" w:space="0"/>
              <w:right w:val="single" w:color="000000" w:sz="6" w:space="0"/>
            </w:tcBorders>
            <w:tcMar>
              <w:top w:w="0" w:type="dxa"/>
              <w:left w:w="105" w:type="dxa"/>
              <w:bottom w:w="0" w:type="dxa"/>
              <w:right w:w="105" w:type="dxa"/>
            </w:tcMar>
            <w:vAlign w:val="center"/>
          </w:tcPr>
          <w:p>
            <w:pPr>
              <w:widowControl/>
              <w:spacing w:line="240" w:lineRule="auto"/>
              <w:jc w:val="center"/>
              <w:rPr>
                <w:rFonts w:hint="default"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0</w:t>
            </w:r>
          </w:p>
        </w:tc>
      </w:tr>
    </w:tbl>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jc w:val="left"/>
        <w:textAlignment w:val="auto"/>
        <w:outlineLvl w:val="9"/>
        <w:rPr>
          <w:rFonts w:hint="eastAsia" w:ascii="黑体" w:hAnsi="黑体" w:eastAsia="黑体" w:cs="黑体"/>
          <w:color w:val="323232"/>
          <w:kern w:val="0"/>
          <w:sz w:val="32"/>
          <w:szCs w:val="32"/>
        </w:rPr>
      </w:pPr>
    </w:p>
    <w:p>
      <w:pPr>
        <w:widowControl/>
        <w:shd w:val="clear" w:color="auto" w:fill="FFFFFF"/>
        <w:wordWrap/>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323232"/>
          <w:kern w:val="0"/>
          <w:sz w:val="32"/>
          <w:szCs w:val="32"/>
        </w:rPr>
        <w:t> </w:t>
      </w:r>
      <w:r>
        <w:rPr>
          <w:rFonts w:hint="eastAsia" w:ascii="黑体" w:hAnsi="黑体" w:eastAsia="黑体" w:cs="黑体"/>
          <w:color w:val="323232"/>
          <w:kern w:val="0"/>
          <w:sz w:val="32"/>
          <w:szCs w:val="32"/>
          <w:lang w:eastAsia="zh-CN"/>
        </w:rPr>
        <w:t>三、</w:t>
      </w:r>
      <w:r>
        <w:rPr>
          <w:rFonts w:hint="eastAsia" w:ascii="黑体" w:hAnsi="黑体" w:eastAsia="黑体" w:cs="黑体"/>
          <w:color w:val="auto"/>
          <w:kern w:val="0"/>
          <w:sz w:val="32"/>
          <w:szCs w:val="32"/>
        </w:rPr>
        <w:t xml:space="preserve">收到和处理政府信息公开申请情况 </w:t>
      </w:r>
    </w:p>
    <w:tbl>
      <w:tblPr>
        <w:tblStyle w:val="2"/>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0"/>
        <w:gridCol w:w="831"/>
        <w:gridCol w:w="1669"/>
        <w:gridCol w:w="512"/>
        <w:gridCol w:w="561"/>
        <w:gridCol w:w="512"/>
        <w:gridCol w:w="609"/>
        <w:gridCol w:w="609"/>
        <w:gridCol w:w="512"/>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（本列数据的勾稽关系为：第一项加第二项之和，等于第三项加第四项之和）</w:t>
            </w:r>
          </w:p>
        </w:tc>
        <w:tc>
          <w:tcPr>
            <w:tcW w:w="5236"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12"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自然人</w:t>
            </w:r>
          </w:p>
        </w:tc>
        <w:tc>
          <w:tcPr>
            <w:tcW w:w="2803"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法人或其他组织</w:t>
            </w:r>
          </w:p>
        </w:tc>
        <w:tc>
          <w:tcPr>
            <w:tcW w:w="192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0" w:hRule="atLeast"/>
        </w:trPr>
        <w:tc>
          <w:tcPr>
            <w:tcW w:w="311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12"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商业企业</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科研机构</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社会公益组织</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法律服务机构</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w:t>
            </w:r>
          </w:p>
        </w:tc>
        <w:tc>
          <w:tcPr>
            <w:tcW w:w="192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一、本年新收政府信息公开申请数量</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二、上年结转政府信息公开申请数量</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三、本年度办理结果</w:t>
            </w: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（一）予以公开</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（二）部分公开（区分处理的，只计这一情形，不计其他情形）</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（三）不予</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公开</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属于国家秘密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其他法律行政法规禁止公开</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40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危及“三安全一稳定”</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4.</w:t>
            </w:r>
            <w:r>
              <w:rPr>
                <w:rFonts w:hint="eastAsia" w:ascii="宋体" w:hAnsi="宋体" w:eastAsia="宋体" w:cs="宋体"/>
                <w:kern w:val="0"/>
                <w:sz w:val="20"/>
                <w:szCs w:val="20"/>
              </w:rPr>
              <w:t>保护第三方合法权益</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5.</w:t>
            </w:r>
            <w:r>
              <w:rPr>
                <w:rFonts w:hint="eastAsia" w:ascii="宋体" w:hAnsi="宋体" w:eastAsia="宋体" w:cs="宋体"/>
                <w:kern w:val="0"/>
                <w:sz w:val="20"/>
                <w:szCs w:val="20"/>
              </w:rPr>
              <w:t>属于三类内部事务信息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6.</w:t>
            </w:r>
            <w:r>
              <w:rPr>
                <w:rFonts w:hint="eastAsia" w:ascii="宋体" w:hAnsi="宋体" w:eastAsia="宋体" w:cs="宋体"/>
                <w:kern w:val="0"/>
                <w:sz w:val="20"/>
                <w:szCs w:val="20"/>
              </w:rPr>
              <w:t>属于四类过程性信息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7.</w:t>
            </w:r>
            <w:r>
              <w:rPr>
                <w:rFonts w:hint="eastAsia" w:ascii="宋体" w:hAnsi="宋体" w:eastAsia="宋体" w:cs="宋体"/>
                <w:kern w:val="0"/>
                <w:sz w:val="20"/>
                <w:szCs w:val="20"/>
              </w:rPr>
              <w:t>属于行政执法案卷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8.</w:t>
            </w:r>
            <w:r>
              <w:rPr>
                <w:rFonts w:hint="eastAsia" w:ascii="宋体" w:hAnsi="宋体" w:eastAsia="宋体" w:cs="宋体"/>
                <w:kern w:val="0"/>
                <w:sz w:val="20"/>
                <w:szCs w:val="20"/>
              </w:rPr>
              <w:t>属于行政查询事项</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（四）无法</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提供</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本机关不掌握相关政府信息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没有现成信息需要另行制作</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补正后申请内容仍不明确</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（五）不予</w:t>
            </w:r>
          </w:p>
          <w:p>
            <w:pPr>
              <w:widowControl/>
              <w:spacing w:after="180" w:line="640"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处理</w:t>
            </w: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1.</w:t>
            </w:r>
            <w:r>
              <w:rPr>
                <w:rFonts w:hint="eastAsia" w:ascii="宋体" w:hAnsi="宋体" w:eastAsia="宋体" w:cs="宋体"/>
                <w:kern w:val="0"/>
                <w:sz w:val="20"/>
                <w:szCs w:val="20"/>
              </w:rPr>
              <w:t>信访举报投诉类申请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2.</w:t>
            </w:r>
            <w:r>
              <w:rPr>
                <w:rFonts w:hint="eastAsia" w:ascii="宋体" w:hAnsi="宋体" w:eastAsia="宋体" w:cs="宋体"/>
                <w:kern w:val="0"/>
                <w:sz w:val="20"/>
                <w:szCs w:val="20"/>
              </w:rPr>
              <w:t>重复申请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3.</w:t>
            </w:r>
            <w:r>
              <w:rPr>
                <w:rFonts w:hint="eastAsia" w:ascii="宋体" w:hAnsi="宋体" w:eastAsia="宋体" w:cs="宋体"/>
                <w:kern w:val="0"/>
                <w:sz w:val="20"/>
                <w:szCs w:val="20"/>
              </w:rPr>
              <w:t>要求提供公开出版物</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4.</w:t>
            </w:r>
            <w:r>
              <w:rPr>
                <w:rFonts w:hint="eastAsia" w:ascii="宋体" w:hAnsi="宋体" w:eastAsia="宋体" w:cs="宋体"/>
                <w:kern w:val="0"/>
                <w:sz w:val="20"/>
                <w:szCs w:val="20"/>
              </w:rPr>
              <w:t>无正当理由大量反复申请</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831" w:type="dxa"/>
            <w:vMerge w:val="continue"/>
            <w:tcBorders>
              <w:top w:val="nil"/>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166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ascii="Calibri" w:hAnsi="Calibri" w:eastAsia="仿宋_GB2312" w:cs="宋体"/>
                <w:kern w:val="0"/>
                <w:sz w:val="20"/>
                <w:szCs w:val="20"/>
              </w:rPr>
              <w:t>5.</w:t>
            </w:r>
            <w:r>
              <w:rPr>
                <w:rFonts w:hint="eastAsia" w:ascii="宋体" w:hAnsi="宋体" w:eastAsia="宋体" w:cs="宋体"/>
                <w:kern w:val="0"/>
                <w:sz w:val="20"/>
                <w:szCs w:val="20"/>
              </w:rPr>
              <w:t>要求行政机关确认或重新出具已获取信息</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（六）其他处理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10" w:type="dxa"/>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250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（七）总计</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1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25" w:lineRule="atLeast"/>
              <w:jc w:val="left"/>
              <w:rPr>
                <w:rFonts w:ascii="仿宋_GB2312" w:hAnsi="宋体" w:eastAsia="仿宋_GB2312" w:cs="宋体"/>
                <w:kern w:val="0"/>
                <w:sz w:val="32"/>
                <w:szCs w:val="32"/>
              </w:rPr>
            </w:pPr>
            <w:r>
              <w:rPr>
                <w:rFonts w:hint="eastAsia" w:ascii="宋体" w:hAnsi="宋体" w:eastAsia="宋体" w:cs="宋体"/>
                <w:kern w:val="0"/>
                <w:sz w:val="20"/>
                <w:szCs w:val="20"/>
              </w:rPr>
              <w:t>四、结转下年度继续办理</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6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60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51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0</w:t>
            </w:r>
          </w:p>
        </w:tc>
        <w:tc>
          <w:tcPr>
            <w:tcW w:w="192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lang w:val="en-US" w:eastAsia="zh-CN" w:bidi="ar-SA"/>
              </w:rPr>
            </w:pPr>
            <w:r>
              <w:rPr>
                <w:rFonts w:hint="eastAsia" w:ascii="宋体" w:hAnsi="宋体" w:cs="宋体"/>
                <w:kern w:val="0"/>
                <w:sz w:val="24"/>
                <w:szCs w:val="24"/>
                <w:lang w:val="en-US" w:eastAsia="zh-CN"/>
              </w:rPr>
              <w:t>0</w:t>
            </w:r>
          </w:p>
        </w:tc>
      </w:tr>
    </w:tbl>
    <w:p>
      <w:pPr>
        <w:widowControl/>
        <w:numPr>
          <w:ilvl w:val="0"/>
          <w:numId w:val="0"/>
        </w:numPr>
        <w:shd w:val="clear" w:color="auto" w:fill="FFFFFF"/>
        <w:wordWrap/>
        <w:adjustRightInd/>
        <w:snapToGrid/>
        <w:spacing w:before="0" w:beforeAutospacing="0" w:after="0" w:afterAutospacing="0" w:line="600" w:lineRule="exact"/>
        <w:ind w:left="560" w:leftChars="0" w:right="0"/>
        <w:jc w:val="left"/>
        <w:textAlignment w:val="auto"/>
        <w:outlineLvl w:val="9"/>
        <w:rPr>
          <w:rFonts w:hint="eastAsia" w:ascii="黑体" w:hAnsi="黑体" w:eastAsia="黑体" w:cs="黑体"/>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 xml:space="preserve">四、政府信息公开行政复议、行政诉讼情况 </w:t>
      </w:r>
    </w:p>
    <w:tbl>
      <w:tblPr>
        <w:tblStyle w:val="2"/>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07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其他结果</w:t>
            </w:r>
          </w:p>
        </w:tc>
        <w:tc>
          <w:tcPr>
            <w:tcW w:w="600"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75" w:type="dxa"/>
            <w:vMerge w:val="restart"/>
            <w:tcBorders>
              <w:top w:val="nil"/>
              <w:left w:val="nil"/>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总计</w:t>
            </w:r>
          </w:p>
        </w:tc>
        <w:tc>
          <w:tcPr>
            <w:tcW w:w="297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未经复议直接起诉</w:t>
            </w:r>
          </w:p>
        </w:tc>
        <w:tc>
          <w:tcPr>
            <w:tcW w:w="303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vMerge w:val="continue"/>
            <w:tcBorders>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00"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675" w:type="dxa"/>
            <w:vMerge w:val="continue"/>
            <w:tcBorders>
              <w:left w:val="nil"/>
              <w:bottom w:val="single" w:color="auto" w:sz="6" w:space="0"/>
              <w:right w:val="single" w:color="auto" w:sz="6" w:space="0"/>
            </w:tcBorders>
            <w:vAlign w:val="center"/>
          </w:tcPr>
          <w:p>
            <w:pPr>
              <w:widowControl/>
              <w:jc w:val="left"/>
              <w:rPr>
                <w:rFonts w:ascii="仿宋_GB2312" w:hAnsi="宋体" w:eastAsia="仿宋_GB2312" w:cs="宋体"/>
                <w:kern w:val="0"/>
                <w:sz w:val="32"/>
                <w:szCs w:val="32"/>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总计</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color w:val="333333"/>
                <w:kern w:val="0"/>
                <w:sz w:val="20"/>
                <w:szCs w:val="20"/>
              </w:rPr>
              <w:t>尚未审结</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line="640" w:lineRule="atLeast"/>
              <w:jc w:val="center"/>
              <w:rPr>
                <w:rFonts w:ascii="仿宋_GB2312" w:hAnsi="宋体" w:eastAsia="仿宋_GB2312" w:cs="宋体"/>
                <w:kern w:val="0"/>
                <w:sz w:val="32"/>
                <w:szCs w:val="32"/>
              </w:rPr>
            </w:pPr>
            <w:r>
              <w:rPr>
                <w:rFonts w:hint="eastAsia" w:ascii="宋体" w:hAns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uto"/>
              <w:jc w:val="center"/>
              <w:rPr>
                <w:rFonts w:ascii="仿宋_GB2312" w:hAnsi="宋体" w:eastAsia="仿宋_GB2312" w:cs="宋体"/>
                <w:kern w:val="0"/>
                <w:sz w:val="32"/>
                <w:szCs w:val="32"/>
              </w:rPr>
            </w:pPr>
            <w:r>
              <w:rPr>
                <w:rFonts w:hint="eastAsia" w:ascii="宋体" w:hAnsi="宋体" w:eastAsia="宋体" w:cs="宋体"/>
                <w:color w:val="333333"/>
                <w:kern w:val="0"/>
                <w:szCs w:val="21"/>
              </w:rPr>
              <w:t>0</w:t>
            </w:r>
          </w:p>
        </w:tc>
      </w:tr>
    </w:tbl>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五、存在的主要问题及改进情况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存在的问题：一是政府信息公开渠道、形式较为单一，受众数量有限，未能完全满足互联网时代社会公众对于政府工作知情、参与和监督需求。二是公开的内容还不够全面、深入，公开的形式还不够充分、完善，公开制度的贯彻落实还不够完全到位。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改进的措施：下一步，我局将继续围绕“公开是常态，不公开是例外”的原则，提高信息公开工作重要性的认识，进一步加强日常管理工作，健全和完善政务公开制度，加强对政府信息公开业务人员的培训，将信息公开工作切实落实到日常工作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努力使我局的政府信息公开工作再上新台阶。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xml:space="preserve">六、其他需要报告的事项 </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年未收取政府信息处理费。</w:t>
      </w:r>
    </w:p>
    <w:p>
      <w:pPr>
        <w:widowControl/>
        <w:shd w:val="clear" w:color="auto" w:fill="FFFFFF"/>
        <w:wordWrap/>
        <w:adjustRightInd/>
        <w:snapToGrid/>
        <w:spacing w:before="0" w:beforeAutospacing="0" w:after="0" w:afterAutospacing="0" w:line="600" w:lineRule="exact"/>
        <w:ind w:left="0" w:leftChars="0" w:right="0" w:firstLine="560"/>
        <w:jc w:val="left"/>
        <w:textAlignment w:val="auto"/>
        <w:outlineLvl w:val="9"/>
        <w:rPr>
          <w:rFonts w:hint="eastAsia" w:ascii="仿宋_GB2312" w:hAnsi="仿宋_GB2312" w:eastAsia="仿宋_GB2312" w:cs="仿宋_GB2312"/>
          <w:color w:val="auto"/>
          <w:kern w:val="0"/>
          <w:sz w:val="32"/>
          <w:szCs w:val="32"/>
        </w:rPr>
      </w:pPr>
    </w:p>
    <w:p>
      <w:pPr>
        <w:widowControl/>
        <w:shd w:val="clear" w:color="auto" w:fill="FFFFFF"/>
        <w:wordWrap/>
        <w:adjustRightInd/>
        <w:snapToGrid/>
        <w:spacing w:before="0" w:beforeAutospacing="0" w:after="0" w:afterAutospacing="0" w:line="600" w:lineRule="exact"/>
        <w:ind w:left="0" w:leftChars="0" w:right="0" w:firstLine="4044" w:firstLineChars="1264"/>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长白山管委会住建局</w:t>
      </w:r>
    </w:p>
    <w:p>
      <w:pPr>
        <w:widowControl/>
        <w:shd w:val="clear" w:color="auto" w:fill="FFFFFF"/>
        <w:wordWrap/>
        <w:adjustRightInd/>
        <w:snapToGrid/>
        <w:spacing w:before="0" w:beforeAutospacing="0" w:after="0" w:afterAutospacing="0" w:line="600" w:lineRule="exact"/>
        <w:ind w:left="0" w:leftChars="0" w:right="0" w:firstLine="4364" w:firstLineChars="1364"/>
        <w:jc w:val="left"/>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2022</w:t>
      </w:r>
      <w:bookmarkStart w:id="0" w:name="_GoBack"/>
      <w:bookmarkEnd w:id="0"/>
      <w:r>
        <w:rPr>
          <w:rFonts w:hint="eastAsia" w:ascii="仿宋_GB2312" w:hAnsi="仿宋_GB2312" w:eastAsia="仿宋_GB2312" w:cs="仿宋_GB2312"/>
          <w:color w:val="auto"/>
          <w:kern w:val="0"/>
          <w:sz w:val="32"/>
          <w:szCs w:val="32"/>
          <w:lang w:val="en-US" w:eastAsia="zh-CN"/>
        </w:rPr>
        <w:t>年1月11日</w:t>
      </w:r>
    </w:p>
    <w:p>
      <w:pPr>
        <w:wordWrap/>
        <w:adjustRightInd/>
        <w:snapToGrid/>
        <w:spacing w:before="0" w:beforeAutospacing="0" w:after="0" w:afterAutospacing="0" w:line="600" w:lineRule="exact"/>
        <w:ind w:left="0" w:leftChars="0" w:right="0"/>
        <w:textAlignment w:val="auto"/>
        <w:outlineLvl w:val="9"/>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OTYxODE4NzM0NTViY2UwZTNhM2VlZmEyZDY3Y2IifQ=="/>
  </w:docVars>
  <w:rsids>
    <w:rsidRoot w:val="00000000"/>
    <w:rsid w:val="0C2E04AB"/>
    <w:rsid w:val="148F79A1"/>
    <w:rsid w:val="22B32241"/>
    <w:rsid w:val="23C6058D"/>
    <w:rsid w:val="281849EC"/>
    <w:rsid w:val="2AAD75CA"/>
    <w:rsid w:val="3B941FA0"/>
    <w:rsid w:val="61447084"/>
    <w:rsid w:val="68784853"/>
    <w:rsid w:val="70CE503B"/>
    <w:rsid w:val="716A6559"/>
    <w:rsid w:val="727F49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1829</Words>
  <Characters>1866</Characters>
  <Lines>22</Lines>
  <Paragraphs>6</Paragraphs>
  <TotalTime>11</TotalTime>
  <ScaleCrop>false</ScaleCrop>
  <LinksUpToDate>false</LinksUpToDate>
  <CharactersWithSpaces>1893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2021-01-29T12:26:00Z</dcterms:created>
  <dc:creator>Administrator</dc:creator>
  <cp:lastModifiedBy>lenovo</cp:lastModifiedBy>
  <cp:lastPrinted>2023-01-12T02:54:17Z</cp:lastPrinted>
  <dcterms:modified xsi:type="dcterms:W3CDTF">2023-01-12T03:02:34Z</dcterms:modified>
  <dc:title>长白山管委会财政局2020年政府信息公开工作年度报告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04FE3ACEE13D450781B83FF3BDD31017</vt:lpwstr>
  </property>
</Properties>
</file>