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sz w:val="32"/>
          <w:szCs w:val="32"/>
          <w:lang w:eastAsia="zh-CN"/>
        </w:rPr>
      </w:pPr>
    </w:p>
    <w:p>
      <w:pPr>
        <w:spacing w:line="600" w:lineRule="exact"/>
        <w:jc w:val="center"/>
        <w:rPr>
          <w:rFonts w:ascii="黑体" w:hAnsi="黑体" w:eastAsia="黑体" w:cs="方正小标宋简体"/>
          <w:bCs/>
          <w:sz w:val="44"/>
          <w:szCs w:val="44"/>
        </w:rPr>
      </w:pPr>
      <w:r>
        <w:rPr>
          <w:rFonts w:hint="eastAsia" w:ascii="方正小标宋_GBK" w:hAnsi="方正小标宋_GBK" w:eastAsia="方正小标宋_GBK" w:cs="方正小标宋_GBK"/>
          <w:bCs/>
          <w:sz w:val="44"/>
          <w:szCs w:val="44"/>
          <w:lang w:val="en-US" w:eastAsia="zh-CN"/>
        </w:rPr>
        <w:t>长白山管委会</w:t>
      </w:r>
      <w:r>
        <w:rPr>
          <w:rFonts w:hint="eastAsia" w:ascii="方正小标宋_GBK" w:hAnsi="方正小标宋_GBK" w:eastAsia="方正小标宋_GBK" w:cs="方正小标宋_GBK"/>
          <w:bCs/>
          <w:sz w:val="44"/>
          <w:szCs w:val="44"/>
        </w:rPr>
        <w:t>行政裁决事项清单</w:t>
      </w:r>
    </w:p>
    <w:p>
      <w:pPr>
        <w:spacing w:line="600" w:lineRule="exact"/>
        <w:ind w:firstLine="560" w:firstLineChars="200"/>
        <w:jc w:val="left"/>
        <w:rPr>
          <w:rFonts w:ascii="楷体_GB2312" w:eastAsia="楷体_GB2312"/>
          <w:sz w:val="28"/>
          <w:szCs w:val="28"/>
        </w:rPr>
      </w:pPr>
      <w:r>
        <w:rPr>
          <w:rFonts w:hint="eastAsia" w:ascii="楷体_GB2312" w:eastAsia="楷体_GB2312"/>
          <w:sz w:val="28"/>
          <w:szCs w:val="28"/>
        </w:rPr>
        <w:t xml:space="preserve">填报单位： </w:t>
      </w:r>
      <w:r>
        <w:rPr>
          <w:rFonts w:hint="eastAsia" w:ascii="楷体_GB2312" w:eastAsia="楷体_GB2312"/>
          <w:sz w:val="28"/>
          <w:szCs w:val="28"/>
          <w:lang w:val="en-US" w:eastAsia="zh-CN"/>
        </w:rPr>
        <w:t>长白山规划和自然资源局</w:t>
      </w:r>
      <w:r>
        <w:rPr>
          <w:rFonts w:hint="eastAsia" w:ascii="楷体_GB2312" w:eastAsia="楷体_GB2312"/>
          <w:sz w:val="28"/>
          <w:szCs w:val="28"/>
        </w:rPr>
        <w:t xml:space="preserve">                                    主要负责人签字：</w:t>
      </w:r>
    </w:p>
    <w:tbl>
      <w:tblPr>
        <w:tblStyle w:val="4"/>
        <w:tblW w:w="12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981"/>
        <w:gridCol w:w="3330"/>
        <w:gridCol w:w="4507"/>
        <w:gridCol w:w="1227"/>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603" w:type="dxa"/>
            <w:vMerge w:val="restart"/>
            <w:vAlign w:val="center"/>
          </w:tcPr>
          <w:p>
            <w:pPr>
              <w:spacing w:line="600" w:lineRule="exact"/>
              <w:jc w:val="center"/>
              <w:rPr>
                <w:rFonts w:ascii="Times New Roman" w:hAnsi="Times New Roman" w:eastAsia="黑体"/>
                <w:bCs/>
                <w:sz w:val="28"/>
                <w:szCs w:val="28"/>
              </w:rPr>
            </w:pPr>
            <w:r>
              <w:rPr>
                <w:rFonts w:ascii="Times New Roman" w:hAnsi="Times New Roman" w:eastAsia="黑体" w:cs="Times New Roman"/>
                <w:bCs/>
                <w:sz w:val="28"/>
                <w:szCs w:val="28"/>
              </w:rPr>
              <w:t>序号</w:t>
            </w:r>
          </w:p>
        </w:tc>
        <w:tc>
          <w:tcPr>
            <w:tcW w:w="1981" w:type="dxa"/>
            <w:vMerge w:val="restart"/>
            <w:vAlign w:val="center"/>
          </w:tcPr>
          <w:p>
            <w:pPr>
              <w:spacing w:line="600" w:lineRule="exact"/>
              <w:jc w:val="center"/>
              <w:rPr>
                <w:rFonts w:ascii="Times New Roman" w:hAnsi="Times New Roman" w:eastAsia="黑体"/>
                <w:bCs/>
                <w:sz w:val="28"/>
                <w:szCs w:val="28"/>
              </w:rPr>
            </w:pPr>
            <w:r>
              <w:rPr>
                <w:rFonts w:ascii="Times New Roman" w:hAnsi="Times New Roman" w:eastAsia="黑体" w:cs="Times New Roman"/>
                <w:bCs/>
                <w:sz w:val="28"/>
                <w:szCs w:val="28"/>
              </w:rPr>
              <w:t>行政裁决</w:t>
            </w:r>
          </w:p>
          <w:p>
            <w:pPr>
              <w:spacing w:line="600" w:lineRule="exact"/>
              <w:jc w:val="center"/>
              <w:rPr>
                <w:rFonts w:ascii="Times New Roman" w:hAnsi="Times New Roman" w:eastAsia="黑体"/>
                <w:bCs/>
                <w:sz w:val="28"/>
                <w:szCs w:val="28"/>
              </w:rPr>
            </w:pPr>
            <w:r>
              <w:rPr>
                <w:rFonts w:ascii="Times New Roman" w:hAnsi="Times New Roman" w:eastAsia="黑体" w:cs="Times New Roman"/>
                <w:bCs/>
                <w:sz w:val="28"/>
                <w:szCs w:val="28"/>
              </w:rPr>
              <w:t>涉及事项</w:t>
            </w:r>
          </w:p>
        </w:tc>
        <w:tc>
          <w:tcPr>
            <w:tcW w:w="7837" w:type="dxa"/>
            <w:gridSpan w:val="2"/>
            <w:vAlign w:val="center"/>
          </w:tcPr>
          <w:p>
            <w:pPr>
              <w:spacing w:line="600" w:lineRule="exact"/>
              <w:jc w:val="center"/>
              <w:rPr>
                <w:rFonts w:ascii="Times New Roman" w:hAnsi="Times New Roman" w:eastAsia="黑体"/>
                <w:bCs/>
                <w:sz w:val="28"/>
                <w:szCs w:val="28"/>
              </w:rPr>
            </w:pPr>
            <w:r>
              <w:rPr>
                <w:rFonts w:ascii="Times New Roman" w:hAnsi="Times New Roman" w:eastAsia="黑体" w:cs="Times New Roman"/>
                <w:bCs/>
                <w:sz w:val="28"/>
                <w:szCs w:val="28"/>
              </w:rPr>
              <w:t>法  律  依  据</w:t>
            </w:r>
          </w:p>
        </w:tc>
        <w:tc>
          <w:tcPr>
            <w:tcW w:w="1227" w:type="dxa"/>
            <w:vMerge w:val="restart"/>
            <w:vAlign w:val="center"/>
          </w:tcPr>
          <w:p>
            <w:pPr>
              <w:spacing w:line="600" w:lineRule="exact"/>
              <w:jc w:val="center"/>
              <w:rPr>
                <w:rFonts w:ascii="Times New Roman" w:hAnsi="Times New Roman" w:eastAsia="黑体"/>
                <w:bCs/>
                <w:sz w:val="28"/>
                <w:szCs w:val="28"/>
              </w:rPr>
            </w:pPr>
            <w:r>
              <w:rPr>
                <w:rFonts w:ascii="Times New Roman" w:hAnsi="Times New Roman" w:eastAsia="黑体" w:cs="Times New Roman"/>
                <w:bCs/>
                <w:sz w:val="28"/>
                <w:szCs w:val="28"/>
              </w:rPr>
              <w:t>行政裁决机关</w:t>
            </w:r>
          </w:p>
        </w:tc>
        <w:tc>
          <w:tcPr>
            <w:tcW w:w="1019" w:type="dxa"/>
            <w:vMerge w:val="restart"/>
            <w:vAlign w:val="center"/>
          </w:tcPr>
          <w:p>
            <w:pPr>
              <w:spacing w:line="6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承办</w:t>
            </w:r>
          </w:p>
          <w:p>
            <w:pPr>
              <w:spacing w:line="600" w:lineRule="exact"/>
              <w:jc w:val="center"/>
              <w:rPr>
                <w:rFonts w:ascii="Times New Roman" w:hAnsi="Times New Roman" w:eastAsia="黑体"/>
                <w:bCs/>
                <w:sz w:val="28"/>
                <w:szCs w:val="28"/>
              </w:rPr>
            </w:pPr>
            <w:r>
              <w:rPr>
                <w:rFonts w:ascii="Times New Roman" w:hAnsi="Times New Roman" w:eastAsia="黑体" w:cs="Times New Roman"/>
                <w:bCs/>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603" w:type="dxa"/>
            <w:vMerge w:val="continue"/>
            <w:vAlign w:val="center"/>
          </w:tcPr>
          <w:p>
            <w:pPr>
              <w:spacing w:line="600" w:lineRule="exact"/>
              <w:jc w:val="center"/>
              <w:rPr>
                <w:rFonts w:ascii="Times New Roman" w:hAnsi="Times New Roman"/>
                <w:sz w:val="28"/>
                <w:szCs w:val="28"/>
              </w:rPr>
            </w:pPr>
          </w:p>
        </w:tc>
        <w:tc>
          <w:tcPr>
            <w:tcW w:w="1981" w:type="dxa"/>
            <w:vMerge w:val="continue"/>
            <w:vAlign w:val="center"/>
          </w:tcPr>
          <w:p>
            <w:pPr>
              <w:spacing w:line="600" w:lineRule="exact"/>
              <w:jc w:val="center"/>
              <w:rPr>
                <w:rFonts w:ascii="Times New Roman" w:hAnsi="Times New Roman"/>
                <w:sz w:val="28"/>
                <w:szCs w:val="28"/>
              </w:rPr>
            </w:pPr>
          </w:p>
        </w:tc>
        <w:tc>
          <w:tcPr>
            <w:tcW w:w="3330" w:type="dxa"/>
            <w:vAlign w:val="center"/>
          </w:tcPr>
          <w:p>
            <w:pPr>
              <w:spacing w:line="600" w:lineRule="exact"/>
              <w:jc w:val="center"/>
              <w:rPr>
                <w:rFonts w:ascii="Times New Roman" w:hAnsi="Times New Roman" w:eastAsia="黑体"/>
                <w:bCs/>
                <w:sz w:val="28"/>
                <w:szCs w:val="28"/>
              </w:rPr>
            </w:pPr>
            <w:r>
              <w:rPr>
                <w:rFonts w:ascii="Times New Roman" w:hAnsi="Times New Roman" w:eastAsia="黑体" w:cs="Times New Roman"/>
                <w:bCs/>
                <w:sz w:val="28"/>
                <w:szCs w:val="28"/>
              </w:rPr>
              <w:t>名称</w:t>
            </w:r>
          </w:p>
        </w:tc>
        <w:tc>
          <w:tcPr>
            <w:tcW w:w="4507" w:type="dxa"/>
            <w:vAlign w:val="center"/>
          </w:tcPr>
          <w:p>
            <w:pPr>
              <w:spacing w:line="600" w:lineRule="exact"/>
              <w:jc w:val="center"/>
              <w:rPr>
                <w:rFonts w:ascii="Times New Roman" w:hAnsi="Times New Roman" w:eastAsia="黑体"/>
                <w:bCs/>
                <w:sz w:val="28"/>
                <w:szCs w:val="28"/>
              </w:rPr>
            </w:pPr>
            <w:r>
              <w:rPr>
                <w:rFonts w:ascii="Times New Roman" w:hAnsi="Times New Roman" w:eastAsia="黑体" w:cs="Times New Roman"/>
                <w:bCs/>
                <w:sz w:val="28"/>
                <w:szCs w:val="28"/>
              </w:rPr>
              <w:t>具体条款及内容</w:t>
            </w:r>
          </w:p>
        </w:tc>
        <w:tc>
          <w:tcPr>
            <w:tcW w:w="1227" w:type="dxa"/>
            <w:vMerge w:val="continue"/>
          </w:tcPr>
          <w:p>
            <w:pPr>
              <w:spacing w:line="600" w:lineRule="exact"/>
              <w:rPr>
                <w:rFonts w:ascii="Times New Roman" w:hAnsi="Times New Roman"/>
                <w:sz w:val="28"/>
                <w:szCs w:val="28"/>
              </w:rPr>
            </w:pPr>
          </w:p>
        </w:tc>
        <w:tc>
          <w:tcPr>
            <w:tcW w:w="1019" w:type="dxa"/>
            <w:vMerge w:val="continue"/>
          </w:tcPr>
          <w:p>
            <w:pPr>
              <w:spacing w:line="6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03" w:type="dxa"/>
            <w:vMerge w:val="restart"/>
            <w:vAlign w:val="center"/>
          </w:tcPr>
          <w:p>
            <w:pPr>
              <w:spacing w:line="600" w:lineRule="exact"/>
              <w:jc w:val="center"/>
              <w:rPr>
                <w:rFonts w:hint="eastAsia" w:ascii="宋体" w:hAnsi="宋体" w:eastAsia="宋体"/>
                <w:bCs/>
                <w:szCs w:val="21"/>
                <w:lang w:val="en-US" w:eastAsia="zh-CN"/>
              </w:rPr>
            </w:pPr>
            <w:r>
              <w:rPr>
                <w:rFonts w:hint="eastAsia" w:ascii="宋体" w:hAnsi="宋体" w:eastAsia="宋体"/>
                <w:bCs/>
                <w:szCs w:val="21"/>
                <w:lang w:val="en-US" w:eastAsia="zh-CN"/>
              </w:rPr>
              <w:t>1</w:t>
            </w:r>
          </w:p>
        </w:tc>
        <w:tc>
          <w:tcPr>
            <w:tcW w:w="1981" w:type="dxa"/>
            <w:vMerge w:val="restart"/>
            <w:vAlign w:val="center"/>
          </w:tcPr>
          <w:p>
            <w:pPr>
              <w:spacing w:line="600" w:lineRule="exact"/>
              <w:jc w:val="center"/>
              <w:rPr>
                <w:rFonts w:hint="default" w:ascii="宋体" w:hAnsi="宋体" w:eastAsia="宋体"/>
                <w:bCs/>
                <w:szCs w:val="21"/>
                <w:lang w:val="en-US" w:eastAsia="zh-CN"/>
              </w:rPr>
            </w:pPr>
            <w:r>
              <w:rPr>
                <w:rFonts w:hint="eastAsia" w:ascii="宋体" w:hAnsi="宋体" w:eastAsia="宋体"/>
                <w:bCs/>
                <w:szCs w:val="21"/>
                <w:lang w:val="en-US" w:eastAsia="zh-CN"/>
              </w:rPr>
              <w:t>土地权属争议调处</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《中华人民共和国土地管理法》（1986年6月25日第六届全国人大常委会第十六次会议通过，1988年12月29日第七届全国人大常委会第五次会议第一次修正，1998年8月29日第九届全国人大常委会第十一次会议第二次修正</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根据2019年8月26日《全国人民代表大会常务委员会关于修改&lt;中华人民共和国土地管理法&gt;、&lt;中华人民共和国城市房地产产管理法&gt;的决定》第三次修改）。</w:t>
            </w:r>
          </w:p>
        </w:tc>
        <w:tc>
          <w:tcPr>
            <w:tcW w:w="450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eastAsia" w:ascii="仿宋" w:hAnsi="仿宋" w:eastAsia="仿宋" w:cs="仿宋"/>
                <w:sz w:val="18"/>
                <w:szCs w:val="18"/>
              </w:rPr>
            </w:pPr>
            <w:r>
              <w:rPr>
                <w:rFonts w:hint="eastAsia" w:ascii="仿宋" w:hAnsi="仿宋" w:eastAsia="仿宋" w:cs="仿宋"/>
                <w:sz w:val="18"/>
                <w:szCs w:val="18"/>
              </w:rPr>
              <w:t>第十</w:t>
            </w:r>
            <w:r>
              <w:rPr>
                <w:rFonts w:hint="eastAsia" w:ascii="仿宋" w:hAnsi="仿宋" w:eastAsia="仿宋" w:cs="仿宋"/>
                <w:sz w:val="18"/>
                <w:szCs w:val="18"/>
                <w:lang w:val="en-US" w:eastAsia="zh-CN"/>
              </w:rPr>
              <w:t>四</w:t>
            </w:r>
            <w:r>
              <w:rPr>
                <w:rFonts w:hint="eastAsia" w:ascii="仿宋" w:hAnsi="仿宋" w:eastAsia="仿宋" w:cs="仿宋"/>
                <w:sz w:val="18"/>
                <w:szCs w:val="18"/>
              </w:rPr>
              <w:t>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tc>
        <w:tc>
          <w:tcPr>
            <w:tcW w:w="1227" w:type="dxa"/>
            <w:vMerge w:val="restart"/>
            <w:vAlign w:val="center"/>
          </w:tcPr>
          <w:p>
            <w:pPr>
              <w:spacing w:line="600" w:lineRule="exact"/>
              <w:jc w:val="both"/>
              <w:rPr>
                <w:rFonts w:hint="default" w:ascii="宋体" w:hAnsi="宋体" w:eastAsia="宋体"/>
                <w:bCs/>
                <w:szCs w:val="21"/>
                <w:lang w:val="en-US" w:eastAsia="zh-CN"/>
              </w:rPr>
            </w:pPr>
            <w:r>
              <w:rPr>
                <w:rFonts w:hint="eastAsia" w:ascii="宋体" w:hAnsi="宋体" w:eastAsia="宋体"/>
                <w:bCs/>
                <w:szCs w:val="21"/>
                <w:lang w:val="en-US" w:eastAsia="zh-CN"/>
              </w:rPr>
              <w:t>长白山管委会、各区管委会</w:t>
            </w:r>
          </w:p>
        </w:tc>
        <w:tc>
          <w:tcPr>
            <w:tcW w:w="1019" w:type="dxa"/>
            <w:vMerge w:val="restart"/>
            <w:vAlign w:val="center"/>
          </w:tcPr>
          <w:p>
            <w:pPr>
              <w:spacing w:line="600" w:lineRule="exact"/>
              <w:jc w:val="center"/>
              <w:rPr>
                <w:rFonts w:hint="default" w:ascii="宋体" w:hAnsi="宋体" w:eastAsia="宋体"/>
                <w:bCs/>
                <w:szCs w:val="21"/>
                <w:lang w:val="en-US" w:eastAsia="zh-CN"/>
              </w:rPr>
            </w:pPr>
            <w:r>
              <w:rPr>
                <w:rFonts w:hint="eastAsia" w:ascii="宋体" w:hAnsi="宋体" w:eastAsia="宋体"/>
                <w:bCs/>
                <w:szCs w:val="21"/>
                <w:lang w:val="en-US" w:eastAsia="zh-CN"/>
              </w:rPr>
              <w:t>长白山规划和自然资源局及各分局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03" w:type="dxa"/>
            <w:vMerge w:val="continue"/>
            <w:vAlign w:val="center"/>
          </w:tcPr>
          <w:p>
            <w:pPr>
              <w:spacing w:line="600" w:lineRule="exact"/>
              <w:jc w:val="center"/>
              <w:rPr>
                <w:rFonts w:ascii="宋体" w:hAnsi="宋体" w:eastAsia="宋体"/>
                <w:b/>
                <w:bCs/>
                <w:szCs w:val="21"/>
              </w:rPr>
            </w:pPr>
          </w:p>
        </w:tc>
        <w:tc>
          <w:tcPr>
            <w:tcW w:w="1981" w:type="dxa"/>
            <w:vMerge w:val="continue"/>
            <w:vAlign w:val="center"/>
          </w:tcPr>
          <w:p>
            <w:pPr>
              <w:spacing w:line="600" w:lineRule="exact"/>
              <w:jc w:val="center"/>
              <w:rPr>
                <w:rFonts w:ascii="宋体" w:hAnsi="宋体" w:eastAsia="宋体"/>
                <w:b/>
                <w:bCs/>
                <w:szCs w:val="21"/>
              </w:rPr>
            </w:pP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部门规章</w:t>
            </w:r>
            <w:r>
              <w:rPr>
                <w:rFonts w:hint="eastAsia" w:ascii="仿宋" w:hAnsi="仿宋" w:eastAsia="仿宋" w:cs="仿宋"/>
                <w:sz w:val="18"/>
                <w:szCs w:val="18"/>
                <w:lang w:eastAsia="zh-CN"/>
              </w:rPr>
              <w:t>】</w:t>
            </w:r>
            <w:r>
              <w:rPr>
                <w:rFonts w:hint="eastAsia" w:ascii="仿宋" w:hAnsi="仿宋" w:eastAsia="仿宋" w:cs="仿宋"/>
                <w:sz w:val="18"/>
                <w:szCs w:val="18"/>
              </w:rPr>
              <w:t>《土地权属争议调查处理办法》(2003年1月3日，国土资源部令第17号公布，2003年3月1日起施行)</w:t>
            </w:r>
          </w:p>
        </w:tc>
        <w:tc>
          <w:tcPr>
            <w:tcW w:w="450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eastAsia" w:ascii="仿宋" w:hAnsi="仿宋" w:eastAsia="仿宋" w:cs="仿宋"/>
                <w:sz w:val="18"/>
                <w:szCs w:val="18"/>
              </w:rPr>
            </w:pPr>
            <w:r>
              <w:rPr>
                <w:rFonts w:hint="eastAsia" w:ascii="仿宋" w:hAnsi="仿宋" w:eastAsia="仿宋" w:cs="仿宋"/>
                <w:sz w:val="18"/>
                <w:szCs w:val="18"/>
              </w:rPr>
              <w:t>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五条</w:t>
            </w:r>
            <w:r>
              <w:rPr>
                <w:rFonts w:hint="eastAsia" w:ascii="仿宋" w:hAnsi="仿宋" w:eastAsia="仿宋" w:cs="仿宋"/>
                <w:sz w:val="18"/>
                <w:szCs w:val="18"/>
                <w:lang w:val="en-US" w:eastAsia="zh-CN"/>
              </w:rPr>
              <w:t>:</w:t>
            </w:r>
            <w:r>
              <w:rPr>
                <w:rFonts w:hint="eastAsia" w:ascii="仿宋" w:hAnsi="仿宋" w:eastAsia="仿宋" w:cs="仿宋"/>
                <w:sz w:val="18"/>
                <w:szCs w:val="18"/>
              </w:rPr>
              <w:t>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p>
        </w:tc>
        <w:tc>
          <w:tcPr>
            <w:tcW w:w="1227" w:type="dxa"/>
            <w:vMerge w:val="continue"/>
            <w:vAlign w:val="center"/>
          </w:tcPr>
          <w:p>
            <w:pPr>
              <w:spacing w:line="600" w:lineRule="exact"/>
              <w:jc w:val="center"/>
              <w:rPr>
                <w:rFonts w:ascii="宋体" w:hAnsi="宋体" w:eastAsia="宋体"/>
                <w:b/>
                <w:bCs/>
                <w:szCs w:val="21"/>
              </w:rPr>
            </w:pPr>
          </w:p>
        </w:tc>
        <w:tc>
          <w:tcPr>
            <w:tcW w:w="1019" w:type="dxa"/>
            <w:vMerge w:val="continue"/>
            <w:vAlign w:val="center"/>
          </w:tcPr>
          <w:p>
            <w:pPr>
              <w:spacing w:line="60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03" w:type="dxa"/>
            <w:vAlign w:val="center"/>
          </w:tcPr>
          <w:p>
            <w:pPr>
              <w:spacing w:line="600" w:lineRule="exact"/>
              <w:jc w:val="center"/>
              <w:rPr>
                <w:rFonts w:hint="eastAsia" w:ascii="宋体" w:hAnsi="宋体" w:eastAsia="宋体"/>
                <w:b/>
                <w:bCs/>
                <w:szCs w:val="21"/>
                <w:lang w:val="en-US" w:eastAsia="zh-CN"/>
              </w:rPr>
            </w:pPr>
            <w:r>
              <w:rPr>
                <w:rFonts w:hint="eastAsia" w:ascii="宋体" w:hAnsi="宋体" w:eastAsia="宋体"/>
                <w:b/>
                <w:bCs/>
                <w:szCs w:val="21"/>
                <w:lang w:val="en-US" w:eastAsia="zh-CN"/>
              </w:rPr>
              <w:t>2</w:t>
            </w:r>
          </w:p>
        </w:tc>
        <w:tc>
          <w:tcPr>
            <w:tcW w:w="1981" w:type="dxa"/>
            <w:vAlign w:val="center"/>
          </w:tcPr>
          <w:p>
            <w:pPr>
              <w:spacing w:line="600" w:lineRule="exact"/>
              <w:jc w:val="center"/>
              <w:rPr>
                <w:rFonts w:ascii="宋体" w:hAnsi="宋体" w:eastAsia="宋体"/>
                <w:b/>
                <w:bCs/>
                <w:szCs w:val="21"/>
              </w:rPr>
            </w:pPr>
            <w:r>
              <w:rPr>
                <w:rFonts w:hint="eastAsia" w:ascii="仿宋_GB2312" w:hAnsi="宋体" w:eastAsia="仿宋_GB2312" w:cs="宋体"/>
                <w:color w:val="000000"/>
                <w:kern w:val="0"/>
                <w:sz w:val="18"/>
                <w:szCs w:val="18"/>
              </w:rPr>
              <w:t>探矿权勘查范围争议调处</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b/>
                <w:bCs/>
                <w:szCs w:val="21"/>
              </w:rPr>
            </w:pPr>
            <w:r>
              <w:rPr>
                <w:rFonts w:hint="eastAsia" w:ascii="仿宋" w:hAnsi="仿宋" w:eastAsia="仿宋" w:cs="仿宋"/>
                <w:sz w:val="18"/>
                <w:szCs w:val="18"/>
                <w:lang w:eastAsia="zh-CN"/>
              </w:rPr>
              <w:t>【行政</w:t>
            </w:r>
            <w:r>
              <w:rPr>
                <w:rFonts w:hint="eastAsia" w:ascii="仿宋" w:hAnsi="仿宋" w:eastAsia="仿宋" w:cs="仿宋"/>
                <w:sz w:val="18"/>
                <w:szCs w:val="18"/>
              </w:rPr>
              <w:t>法规</w:t>
            </w:r>
            <w:r>
              <w:rPr>
                <w:rFonts w:hint="eastAsia" w:ascii="仿宋" w:hAnsi="仿宋" w:eastAsia="仿宋" w:cs="仿宋"/>
                <w:sz w:val="18"/>
                <w:szCs w:val="18"/>
                <w:lang w:eastAsia="zh-CN"/>
              </w:rPr>
              <w:t>】</w:t>
            </w:r>
            <w:r>
              <w:rPr>
                <w:rFonts w:hint="eastAsia" w:ascii="仿宋" w:hAnsi="仿宋" w:eastAsia="仿宋" w:cs="仿宋"/>
                <w:sz w:val="18"/>
                <w:szCs w:val="18"/>
              </w:rPr>
              <w:t>《中华人民共和国矿产资源法实施细则》（1994年3月26日国务院令第152号发布）</w:t>
            </w:r>
          </w:p>
        </w:tc>
        <w:tc>
          <w:tcPr>
            <w:tcW w:w="450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eastAsia" w:ascii="仿宋" w:hAnsi="仿宋" w:eastAsia="仿宋" w:cs="仿宋"/>
                <w:sz w:val="18"/>
                <w:szCs w:val="18"/>
              </w:rPr>
            </w:pPr>
            <w:r>
              <w:rPr>
                <w:rFonts w:hint="eastAsia" w:ascii="仿宋" w:hAnsi="仿宋" w:eastAsia="仿宋" w:cs="仿宋"/>
                <w:sz w:val="18"/>
                <w:szCs w:val="18"/>
              </w:rPr>
              <w:t>第</w:t>
            </w:r>
            <w:r>
              <w:rPr>
                <w:rFonts w:hint="eastAsia" w:ascii="仿宋" w:hAnsi="仿宋" w:eastAsia="仿宋" w:cs="仿宋"/>
                <w:sz w:val="18"/>
                <w:szCs w:val="18"/>
                <w:lang w:val="en-US" w:eastAsia="zh-CN"/>
              </w:rPr>
              <w:t>三十六</w:t>
            </w:r>
            <w:r>
              <w:rPr>
                <w:rFonts w:hint="eastAsia" w:ascii="仿宋" w:hAnsi="仿宋" w:eastAsia="仿宋" w:cs="仿宋"/>
                <w:sz w:val="18"/>
                <w:szCs w:val="18"/>
              </w:rPr>
              <w:t>条：</w:t>
            </w:r>
            <w:r>
              <w:rPr>
                <w:rFonts w:hint="eastAsia" w:ascii="仿宋" w:hAnsi="仿宋" w:eastAsia="仿宋" w:cs="仿宋"/>
                <w:sz w:val="18"/>
                <w:szCs w:val="18"/>
                <w:lang w:val="en-US" w:eastAsia="zh-CN"/>
              </w:rPr>
              <w:t>采</w:t>
            </w:r>
            <w:r>
              <w:rPr>
                <w:rFonts w:hint="eastAsia" w:ascii="仿宋" w:hAnsi="仿宋" w:eastAsia="仿宋" w:cs="仿宋"/>
                <w:sz w:val="18"/>
                <w:szCs w:val="18"/>
              </w:rPr>
              <w:t>矿权人之间对</w:t>
            </w:r>
            <w:r>
              <w:rPr>
                <w:rFonts w:hint="eastAsia" w:ascii="仿宋" w:hAnsi="仿宋" w:eastAsia="仿宋" w:cs="仿宋"/>
                <w:sz w:val="18"/>
                <w:szCs w:val="18"/>
                <w:lang w:val="en-US" w:eastAsia="zh-CN"/>
              </w:rPr>
              <w:t>矿区</w:t>
            </w:r>
            <w:r>
              <w:rPr>
                <w:rFonts w:hint="eastAsia" w:ascii="仿宋" w:hAnsi="仿宋" w:eastAsia="仿宋" w:cs="仿宋"/>
                <w:sz w:val="18"/>
                <w:szCs w:val="18"/>
              </w:rPr>
              <w:t>范围发生争议时，由当事人协商解决;协商不成的，由</w:t>
            </w:r>
            <w:r>
              <w:rPr>
                <w:rFonts w:hint="eastAsia" w:ascii="仿宋" w:hAnsi="仿宋" w:eastAsia="仿宋" w:cs="仿宋"/>
                <w:sz w:val="18"/>
                <w:szCs w:val="18"/>
                <w:lang w:val="en-US" w:eastAsia="zh-CN"/>
              </w:rPr>
              <w:t>矿产资源</w:t>
            </w:r>
            <w:r>
              <w:rPr>
                <w:rFonts w:hint="eastAsia" w:ascii="仿宋" w:hAnsi="仿宋" w:eastAsia="仿宋" w:cs="仿宋"/>
                <w:sz w:val="18"/>
                <w:szCs w:val="18"/>
              </w:rPr>
              <w:t>所在地的</w:t>
            </w:r>
            <w:r>
              <w:rPr>
                <w:rFonts w:hint="eastAsia" w:ascii="仿宋" w:hAnsi="仿宋" w:eastAsia="仿宋" w:cs="仿宋"/>
                <w:sz w:val="18"/>
                <w:szCs w:val="18"/>
                <w:lang w:val="en-US" w:eastAsia="zh-CN"/>
              </w:rPr>
              <w:t>县级以上</w:t>
            </w:r>
            <w:r>
              <w:rPr>
                <w:rFonts w:hint="eastAsia" w:ascii="仿宋" w:hAnsi="仿宋" w:eastAsia="仿宋" w:cs="仿宋"/>
                <w:sz w:val="18"/>
                <w:szCs w:val="18"/>
              </w:rPr>
              <w:t>人民政府</w:t>
            </w:r>
            <w:r>
              <w:rPr>
                <w:rFonts w:hint="eastAsia" w:ascii="仿宋" w:hAnsi="仿宋" w:eastAsia="仿宋" w:cs="仿宋"/>
                <w:sz w:val="18"/>
                <w:szCs w:val="18"/>
                <w:lang w:val="en-US" w:eastAsia="zh-CN"/>
              </w:rPr>
              <w:t>根据依法核定的矿区范围处理</w:t>
            </w:r>
            <w:r>
              <w:rPr>
                <w:rFonts w:hint="eastAsia" w:ascii="仿宋" w:hAnsi="仿宋" w:eastAsia="仿宋" w:cs="仿宋"/>
                <w:sz w:val="18"/>
                <w:szCs w:val="18"/>
              </w:rPr>
              <w:t>;跨省、自治区、直辖市的</w:t>
            </w:r>
            <w:r>
              <w:rPr>
                <w:rFonts w:hint="eastAsia" w:ascii="仿宋" w:hAnsi="仿宋" w:eastAsia="仿宋" w:cs="仿宋"/>
                <w:sz w:val="18"/>
                <w:szCs w:val="18"/>
                <w:lang w:val="en-US" w:eastAsia="zh-CN"/>
              </w:rPr>
              <w:t>矿区</w:t>
            </w:r>
            <w:r>
              <w:rPr>
                <w:rFonts w:hint="eastAsia" w:ascii="仿宋" w:hAnsi="仿宋" w:eastAsia="仿宋" w:cs="仿宋"/>
                <w:sz w:val="18"/>
                <w:szCs w:val="18"/>
              </w:rPr>
              <w:t>范围争议，当事人协商不成的，由有关省、自治区、直辖市人民政府协商解决；协商不成的，由国务院地质矿产主管部门</w:t>
            </w:r>
            <w:r>
              <w:rPr>
                <w:rFonts w:hint="eastAsia" w:ascii="仿宋" w:hAnsi="仿宋" w:eastAsia="仿宋" w:cs="仿宋"/>
                <w:sz w:val="18"/>
                <w:szCs w:val="18"/>
                <w:lang w:val="en-US" w:eastAsia="zh-CN"/>
              </w:rPr>
              <w:t>提出处理意见，报国务院决定</w:t>
            </w:r>
            <w:r>
              <w:rPr>
                <w:rFonts w:hint="eastAsia" w:ascii="仿宋" w:hAnsi="仿宋" w:eastAsia="仿宋" w:cs="仿宋"/>
                <w:sz w:val="18"/>
                <w:szCs w:val="18"/>
              </w:rPr>
              <w:t>。</w:t>
            </w:r>
          </w:p>
        </w:tc>
        <w:tc>
          <w:tcPr>
            <w:tcW w:w="1227" w:type="dxa"/>
            <w:vAlign w:val="center"/>
          </w:tcPr>
          <w:p>
            <w:pPr>
              <w:spacing w:line="600" w:lineRule="exact"/>
              <w:jc w:val="both"/>
              <w:rPr>
                <w:rFonts w:hint="default" w:ascii="宋体" w:hAnsi="宋体" w:eastAsia="宋体"/>
                <w:bCs/>
                <w:szCs w:val="21"/>
                <w:lang w:val="en-US" w:eastAsia="zh-CN"/>
              </w:rPr>
            </w:pPr>
            <w:r>
              <w:rPr>
                <w:rFonts w:hint="eastAsia" w:ascii="宋体" w:hAnsi="宋体" w:eastAsia="宋体"/>
                <w:bCs/>
                <w:szCs w:val="21"/>
                <w:lang w:val="en-US" w:eastAsia="zh-CN"/>
              </w:rPr>
              <w:t>长白山管委会、各区管委会</w:t>
            </w:r>
          </w:p>
        </w:tc>
        <w:tc>
          <w:tcPr>
            <w:tcW w:w="1019" w:type="dxa"/>
            <w:vAlign w:val="center"/>
          </w:tcPr>
          <w:p>
            <w:pPr>
              <w:spacing w:line="600" w:lineRule="exact"/>
              <w:jc w:val="both"/>
              <w:rPr>
                <w:rFonts w:hint="default" w:ascii="宋体" w:hAnsi="宋体" w:eastAsia="宋体"/>
                <w:bCs/>
                <w:szCs w:val="21"/>
                <w:lang w:val="en-US" w:eastAsia="zh-CN"/>
              </w:rPr>
            </w:pPr>
            <w:r>
              <w:rPr>
                <w:rFonts w:hint="eastAsia" w:ascii="宋体" w:hAnsi="宋体" w:eastAsia="宋体"/>
                <w:bCs/>
                <w:szCs w:val="21"/>
                <w:lang w:val="en-US" w:eastAsia="zh-CN"/>
              </w:rPr>
              <w:t>规划和自然资源局及各分局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03" w:type="dxa"/>
            <w:vMerge w:val="restart"/>
            <w:vAlign w:val="center"/>
          </w:tcPr>
          <w:p>
            <w:pPr>
              <w:spacing w:line="600" w:lineRule="exact"/>
              <w:jc w:val="center"/>
              <w:rPr>
                <w:rFonts w:hint="eastAsia" w:ascii="宋体" w:hAnsi="宋体" w:eastAsia="宋体"/>
                <w:b/>
                <w:bCs/>
                <w:szCs w:val="21"/>
                <w:lang w:val="en-US" w:eastAsia="zh-CN"/>
              </w:rPr>
            </w:pPr>
            <w:r>
              <w:rPr>
                <w:rFonts w:hint="eastAsia" w:ascii="宋体" w:hAnsi="宋体" w:eastAsia="宋体"/>
                <w:b/>
                <w:bCs/>
                <w:szCs w:val="21"/>
                <w:lang w:val="en-US" w:eastAsia="zh-CN"/>
              </w:rPr>
              <w:t>3</w:t>
            </w:r>
          </w:p>
        </w:tc>
        <w:tc>
          <w:tcPr>
            <w:tcW w:w="1981" w:type="dxa"/>
            <w:vMerge w:val="restart"/>
            <w:vAlign w:val="center"/>
          </w:tcPr>
          <w:p>
            <w:pPr>
              <w:spacing w:line="600" w:lineRule="exact"/>
              <w:jc w:val="center"/>
              <w:rPr>
                <w:rFonts w:ascii="宋体" w:hAnsi="宋体" w:eastAsia="宋体"/>
                <w:b/>
                <w:bCs/>
                <w:szCs w:val="21"/>
              </w:rPr>
            </w:pPr>
            <w:r>
              <w:rPr>
                <w:rFonts w:hint="eastAsia" w:ascii="仿宋" w:hAnsi="仿宋" w:eastAsia="仿宋" w:cs="仿宋"/>
                <w:sz w:val="18"/>
                <w:szCs w:val="18"/>
              </w:rPr>
              <w:t>林木林地权属争议处理</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仿宋"/>
                <w:b/>
                <w:bCs/>
                <w:szCs w:val="21"/>
                <w:lang w:val="en-US" w:eastAsia="zh-CN"/>
              </w:rPr>
            </w:pPr>
            <w:r>
              <w:rPr>
                <w:rFonts w:hint="eastAsia" w:ascii="仿宋" w:hAnsi="仿宋" w:eastAsia="仿宋" w:cs="仿宋"/>
                <w:sz w:val="18"/>
                <w:szCs w:val="18"/>
              </w:rPr>
              <w:t>【法律】《中华人民共和国森林法》（</w:t>
            </w:r>
            <w:r>
              <w:rPr>
                <w:rFonts w:hint="eastAsia" w:ascii="仿宋" w:hAnsi="仿宋" w:eastAsia="仿宋" w:cs="仿宋"/>
                <w:sz w:val="18"/>
                <w:szCs w:val="18"/>
                <w:lang w:val="en-US" w:eastAsia="zh-CN"/>
              </w:rPr>
              <w:t>已由中华人民共和国第十三届全国人民代表大会常务委员会第十五次会议于2019年12月28日修订通过，自2020年7月1日起施行。）</w:t>
            </w:r>
          </w:p>
        </w:tc>
        <w:tc>
          <w:tcPr>
            <w:tcW w:w="450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ascii="宋体" w:hAnsi="宋体" w:eastAsia="宋体"/>
                <w:b/>
                <w:bCs/>
                <w:szCs w:val="21"/>
              </w:rPr>
            </w:pPr>
            <w:r>
              <w:rPr>
                <w:rFonts w:hint="eastAsia" w:ascii="仿宋" w:hAnsi="仿宋" w:eastAsia="仿宋" w:cs="仿宋"/>
                <w:sz w:val="18"/>
                <w:szCs w:val="18"/>
              </w:rPr>
              <w:t>第</w:t>
            </w:r>
            <w:r>
              <w:rPr>
                <w:rFonts w:hint="eastAsia" w:ascii="仿宋" w:hAnsi="仿宋" w:eastAsia="仿宋" w:cs="仿宋"/>
                <w:sz w:val="18"/>
                <w:szCs w:val="18"/>
                <w:lang w:val="en-US" w:eastAsia="zh-CN"/>
              </w:rPr>
              <w:t>二十二</w:t>
            </w:r>
            <w:r>
              <w:rPr>
                <w:rFonts w:hint="eastAsia" w:ascii="仿宋" w:hAnsi="仿宋" w:eastAsia="仿宋" w:cs="仿宋"/>
                <w:sz w:val="18"/>
                <w:szCs w:val="18"/>
              </w:rPr>
              <w:t>条：单位之间发生的林木、林地所有权和使用权争议，由县级以上人民政府依法处理。 个人之间、个人与单位之间发生的林木所有权和林地使用权争议，由当地县级或者乡级人民政府依法处理。当事人对人民政府的处理决定不服的，可以在接到通知之日起一个月内，向人民法院起诉。在林木、林地权属争议解决以前，任何一方不得砍伐有争议的林木。</w:t>
            </w:r>
          </w:p>
        </w:tc>
        <w:tc>
          <w:tcPr>
            <w:tcW w:w="1227" w:type="dxa"/>
            <w:vMerge w:val="restart"/>
            <w:vAlign w:val="center"/>
          </w:tcPr>
          <w:p>
            <w:pPr>
              <w:spacing w:line="600" w:lineRule="exact"/>
              <w:jc w:val="both"/>
              <w:rPr>
                <w:rFonts w:hint="default" w:ascii="宋体" w:hAnsi="宋体" w:eastAsia="宋体" w:cstheme="minorBidi"/>
                <w:bCs/>
                <w:kern w:val="2"/>
                <w:sz w:val="21"/>
                <w:szCs w:val="21"/>
                <w:lang w:val="en-US" w:eastAsia="zh-CN" w:bidi="ar-SA"/>
              </w:rPr>
            </w:pPr>
            <w:r>
              <w:rPr>
                <w:rFonts w:hint="eastAsia" w:ascii="宋体" w:hAnsi="宋体" w:eastAsia="宋体"/>
                <w:bCs/>
                <w:szCs w:val="21"/>
                <w:lang w:val="en-US" w:eastAsia="zh-CN"/>
              </w:rPr>
              <w:t>长白山管委会、各区管委会</w:t>
            </w:r>
          </w:p>
        </w:tc>
        <w:tc>
          <w:tcPr>
            <w:tcW w:w="1019" w:type="dxa"/>
            <w:vMerge w:val="restart"/>
            <w:vAlign w:val="center"/>
          </w:tcPr>
          <w:p>
            <w:pPr>
              <w:spacing w:line="600" w:lineRule="exact"/>
              <w:jc w:val="center"/>
              <w:rPr>
                <w:rFonts w:hint="default" w:ascii="宋体" w:hAnsi="宋体" w:eastAsia="宋体" w:cstheme="minorBidi"/>
                <w:bCs/>
                <w:kern w:val="2"/>
                <w:sz w:val="21"/>
                <w:szCs w:val="21"/>
                <w:lang w:val="en-US" w:eastAsia="zh-CN" w:bidi="ar-SA"/>
              </w:rPr>
            </w:pPr>
            <w:r>
              <w:rPr>
                <w:rFonts w:hint="eastAsia" w:ascii="宋体" w:hAnsi="宋体" w:eastAsia="宋体"/>
                <w:bCs/>
                <w:szCs w:val="21"/>
                <w:lang w:val="en-US" w:eastAsia="zh-CN"/>
              </w:rPr>
              <w:t>长白山规划和自然资源局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03" w:type="dxa"/>
            <w:vMerge w:val="continue"/>
            <w:vAlign w:val="center"/>
          </w:tcPr>
          <w:p>
            <w:pPr>
              <w:spacing w:line="600" w:lineRule="exact"/>
              <w:jc w:val="center"/>
              <w:rPr>
                <w:rFonts w:ascii="宋体" w:hAnsi="宋体" w:eastAsia="宋体"/>
                <w:b/>
                <w:bCs/>
                <w:szCs w:val="21"/>
              </w:rPr>
            </w:pPr>
          </w:p>
        </w:tc>
        <w:tc>
          <w:tcPr>
            <w:tcW w:w="1981" w:type="dxa"/>
            <w:vMerge w:val="continue"/>
            <w:vAlign w:val="center"/>
          </w:tcPr>
          <w:p>
            <w:pPr>
              <w:spacing w:line="600" w:lineRule="exact"/>
              <w:jc w:val="center"/>
              <w:rPr>
                <w:rFonts w:ascii="宋体" w:hAnsi="宋体" w:eastAsia="宋体"/>
                <w:b/>
                <w:bCs/>
                <w:szCs w:val="21"/>
              </w:rPr>
            </w:pP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b/>
                <w:bCs/>
                <w:szCs w:val="21"/>
              </w:rPr>
            </w:pPr>
            <w:r>
              <w:rPr>
                <w:rFonts w:hint="eastAsia" w:ascii="仿宋" w:hAnsi="仿宋" w:eastAsia="仿宋" w:cs="仿宋"/>
                <w:sz w:val="18"/>
                <w:szCs w:val="18"/>
              </w:rPr>
              <w:t>《林木林地权属争议处理办法》（1996年10月14日林业部令第10号，自公布之日起施行。）</w:t>
            </w:r>
          </w:p>
        </w:tc>
        <w:tc>
          <w:tcPr>
            <w:tcW w:w="450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18"/>
                <w:szCs w:val="18"/>
              </w:rPr>
            </w:pPr>
            <w:r>
              <w:rPr>
                <w:rFonts w:hint="eastAsia" w:ascii="仿宋" w:hAnsi="仿宋" w:eastAsia="仿宋" w:cs="仿宋"/>
                <w:sz w:val="18"/>
                <w:szCs w:val="18"/>
              </w:rPr>
              <w:t>第四条：林权争议由各级人民政府依法作出处理决定。林业部、地方各级人民政府林业行政主管部门或者人民政府设立的林权争议处理机构（以下统称林权争议处理机构）按照管理权限分别负责办理林权争议处理的具体工作。第五条：林权争议发生后，当事人所在地林权争议处理机构应当及时向所在地人民政府报告，并采取有效措施防止事态扩大。在林权争议解决以前，任何单位和个人不得采伐有争议的林木，不得在有争议的林地上从事基本建设或者其他生产活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ascii="宋体" w:hAnsi="宋体" w:eastAsia="宋体"/>
                <w:b/>
                <w:bCs/>
                <w:szCs w:val="21"/>
              </w:rPr>
            </w:pPr>
            <w:r>
              <w:rPr>
                <w:rFonts w:hint="eastAsia" w:ascii="仿宋" w:hAnsi="仿宋" w:eastAsia="仿宋" w:cs="仿宋"/>
                <w:sz w:val="18"/>
                <w:szCs w:val="18"/>
                <w:lang w:eastAsia="zh-CN"/>
              </w:rPr>
              <w:t>注：</w:t>
            </w:r>
            <w:r>
              <w:rPr>
                <w:rFonts w:hint="eastAsia" w:ascii="仿宋" w:hAnsi="仿宋" w:eastAsia="仿宋" w:cs="仿宋"/>
                <w:sz w:val="18"/>
                <w:szCs w:val="18"/>
              </w:rPr>
              <w:t>《自然资源部职能配置、内设机构和人员编制规定》中规定，“制定各类自然资源和不动产统一确权登记、权籍调查、不动产测绘、争议调处、成果应用的制度、标准、规范。”《自然资源统一确权登记工作方案》中规定，“县级以上地方人民政府和自然资源主管部门要配合、支持自然资源部做好自然资源权籍调查、界限核实、权属争议调处等相关工作。”</w:t>
            </w:r>
          </w:p>
        </w:tc>
        <w:tc>
          <w:tcPr>
            <w:tcW w:w="1227" w:type="dxa"/>
            <w:vMerge w:val="continue"/>
            <w:vAlign w:val="center"/>
          </w:tcPr>
          <w:p>
            <w:pPr>
              <w:spacing w:line="600" w:lineRule="exact"/>
              <w:jc w:val="center"/>
              <w:rPr>
                <w:rFonts w:ascii="宋体" w:hAnsi="宋体" w:eastAsia="宋体"/>
                <w:b/>
                <w:bCs/>
                <w:szCs w:val="21"/>
              </w:rPr>
            </w:pPr>
          </w:p>
        </w:tc>
        <w:tc>
          <w:tcPr>
            <w:tcW w:w="1019" w:type="dxa"/>
            <w:vMerge w:val="continue"/>
            <w:vAlign w:val="center"/>
          </w:tcPr>
          <w:p>
            <w:pPr>
              <w:spacing w:line="60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03" w:type="dxa"/>
            <w:vAlign w:val="center"/>
          </w:tcPr>
          <w:p>
            <w:pPr>
              <w:spacing w:line="600" w:lineRule="exact"/>
              <w:jc w:val="center"/>
              <w:rPr>
                <w:rFonts w:hint="eastAsia" w:ascii="宋体" w:hAnsi="宋体" w:eastAsia="宋体"/>
                <w:b/>
                <w:bCs/>
                <w:szCs w:val="21"/>
                <w:lang w:val="en-US" w:eastAsia="zh-CN"/>
              </w:rPr>
            </w:pPr>
            <w:r>
              <w:rPr>
                <w:rFonts w:hint="eastAsia" w:ascii="宋体" w:hAnsi="宋体" w:eastAsia="宋体"/>
                <w:b/>
                <w:bCs/>
                <w:szCs w:val="21"/>
                <w:lang w:val="en-US" w:eastAsia="zh-CN"/>
              </w:rPr>
              <w:t>4</w:t>
            </w:r>
          </w:p>
        </w:tc>
        <w:tc>
          <w:tcPr>
            <w:tcW w:w="1981" w:type="dxa"/>
            <w:vAlign w:val="center"/>
          </w:tcPr>
          <w:p>
            <w:pPr>
              <w:spacing w:line="600" w:lineRule="exact"/>
              <w:jc w:val="center"/>
              <w:rPr>
                <w:rFonts w:ascii="宋体" w:hAnsi="宋体" w:eastAsia="宋体"/>
                <w:b/>
                <w:bCs/>
                <w:szCs w:val="21"/>
              </w:rPr>
            </w:pPr>
            <w:r>
              <w:rPr>
                <w:rFonts w:hint="eastAsia" w:ascii="仿宋" w:hAnsi="仿宋" w:eastAsia="仿宋" w:cs="仿宋"/>
                <w:sz w:val="18"/>
                <w:szCs w:val="18"/>
              </w:rPr>
              <w:t>侵犯植物新品种权处理</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b/>
                <w:bCs/>
                <w:szCs w:val="21"/>
              </w:rPr>
            </w:pPr>
            <w:r>
              <w:rPr>
                <w:rFonts w:hint="eastAsia" w:ascii="仿宋" w:hAnsi="仿宋" w:eastAsia="仿宋" w:cs="仿宋"/>
                <w:sz w:val="18"/>
                <w:szCs w:val="18"/>
              </w:rPr>
              <w:t>《中华人民共和国种子法》（2000年7月8日第九届全国人民代表大会常务委员会第十六次会议通过，根据2004年8月28日第十届全国人民代表大会常务委员会第十一次会议《关于修改〈中华人民共和国种子法〉的决定》第一次修正，根据2013年6月29日第十二届全国人民代表大会常务委员会第三次会议《关于修改〈中华人民共和国文物保护法〉等十二部法律的决定》第二次修正，根据2015年11月4日第十二届全国人民代表大会常务委员会第十七次会议通过2015年11月4日中华人民共和国主席令第三十五号第三次修改）</w:t>
            </w:r>
          </w:p>
        </w:tc>
        <w:tc>
          <w:tcPr>
            <w:tcW w:w="450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18"/>
                <w:szCs w:val="18"/>
              </w:rPr>
            </w:pPr>
            <w:r>
              <w:rPr>
                <w:rFonts w:hint="eastAsia" w:ascii="仿宋" w:hAnsi="仿宋" w:eastAsia="仿宋" w:cs="仿宋"/>
                <w:sz w:val="18"/>
                <w:szCs w:val="18"/>
              </w:rPr>
              <w:t>第十一条：取得实施强制许可的单位或者个人应当付给品种权人合理的使用费，其数额由双方商定；双方不能达成协议的，由审批机关裁决。品种权人对强制许可决定或者强制许可使用费的裁决不服的，可以自收到通知之日起3个月内向人民法院提起诉讼。</w:t>
            </w:r>
            <w:r>
              <w:rPr>
                <w:rFonts w:hint="eastAsia" w:ascii="仿宋" w:hAnsi="仿宋" w:eastAsia="仿宋" w:cs="仿宋"/>
                <w:sz w:val="18"/>
                <w:szCs w:val="18"/>
                <w:lang w:eastAsia="zh-CN"/>
              </w:rPr>
              <w:t>第七十三条：</w:t>
            </w:r>
            <w:r>
              <w:rPr>
                <w:rFonts w:hint="eastAsia" w:ascii="仿宋" w:hAnsi="仿宋" w:eastAsia="仿宋" w:cs="仿宋"/>
                <w:sz w:val="18"/>
                <w:szCs w:val="18"/>
              </w:rPr>
              <w:t>违反本法第二十八条规定，有侵犯植物新品种权行为的，由当事人协商解决，不愿协商或者协商不成的，植物新品种权所有人或者利害关系人可以请求县级以上人民政府农业、林业主管部门进行处理，也可以直接向人民法院提起诉讼。县级以上人民政府农业、林业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赔偿数额应当包括权利人为制止侵权行为所支付的合理开支。侵犯植物新品种权，情节严重的，可以在按照上述方法确定数额的一倍以上三倍以下确定赔偿数额。权利人的损失、侵权人获得的利益和植物新品种权许可使用费均难以确定的，人民法院可以根据植物新品种权的类型、侵权行为的性质和情节等因素，确定给予三百万元以下的赔偿。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ascii="宋体" w:hAnsi="宋体" w:eastAsia="宋体"/>
                <w:b/>
                <w:bCs/>
                <w:szCs w:val="21"/>
              </w:rPr>
            </w:pPr>
          </w:p>
        </w:tc>
        <w:tc>
          <w:tcPr>
            <w:tcW w:w="1227" w:type="dxa"/>
            <w:vAlign w:val="center"/>
          </w:tcPr>
          <w:p>
            <w:pPr>
              <w:spacing w:line="600" w:lineRule="exact"/>
              <w:jc w:val="both"/>
              <w:rPr>
                <w:rFonts w:hint="default" w:ascii="宋体" w:hAnsi="宋体" w:eastAsia="宋体" w:cstheme="minorBidi"/>
                <w:bCs/>
                <w:kern w:val="2"/>
                <w:sz w:val="21"/>
                <w:szCs w:val="21"/>
                <w:lang w:val="en-US" w:eastAsia="zh-CN" w:bidi="ar-SA"/>
              </w:rPr>
            </w:pPr>
            <w:r>
              <w:rPr>
                <w:rFonts w:hint="eastAsia" w:ascii="宋体" w:hAnsi="宋体" w:eastAsia="宋体"/>
                <w:bCs/>
                <w:szCs w:val="21"/>
                <w:lang w:val="en-US" w:eastAsia="zh-CN"/>
              </w:rPr>
              <w:t>长白山管委会、各区管委会</w:t>
            </w:r>
            <w:bookmarkStart w:id="0" w:name="_GoBack"/>
            <w:bookmarkEnd w:id="0"/>
          </w:p>
        </w:tc>
        <w:tc>
          <w:tcPr>
            <w:tcW w:w="1019" w:type="dxa"/>
            <w:vAlign w:val="center"/>
          </w:tcPr>
          <w:p>
            <w:pPr>
              <w:spacing w:line="600" w:lineRule="exact"/>
              <w:jc w:val="center"/>
              <w:rPr>
                <w:rFonts w:hint="default" w:ascii="宋体" w:hAnsi="宋体" w:eastAsia="宋体" w:cstheme="minorBidi"/>
                <w:bCs/>
                <w:kern w:val="2"/>
                <w:sz w:val="21"/>
                <w:szCs w:val="21"/>
                <w:lang w:val="en-US" w:eastAsia="zh-CN" w:bidi="ar-SA"/>
              </w:rPr>
            </w:pPr>
            <w:r>
              <w:rPr>
                <w:rFonts w:hint="eastAsia" w:ascii="宋体" w:hAnsi="宋体" w:eastAsia="宋体"/>
                <w:bCs/>
                <w:szCs w:val="21"/>
                <w:lang w:val="en-US" w:eastAsia="zh-CN"/>
              </w:rPr>
              <w:t>长白山规划和自然资源局</w:t>
            </w:r>
          </w:p>
        </w:tc>
      </w:tr>
    </w:tbl>
    <w:p>
      <w:pPr>
        <w:spacing w:line="600" w:lineRule="exact"/>
        <w:ind w:firstLine="560" w:firstLineChars="200"/>
        <w:rPr>
          <w:rFonts w:ascii="楷体_GB2312" w:eastAsia="楷体_GB2312"/>
          <w:sz w:val="28"/>
          <w:szCs w:val="28"/>
        </w:rPr>
      </w:pPr>
      <w:r>
        <w:rPr>
          <w:rFonts w:hint="eastAsia" w:ascii="楷体_GB2312" w:eastAsia="楷体_GB2312"/>
          <w:sz w:val="28"/>
          <w:szCs w:val="28"/>
        </w:rPr>
        <w:t>填表人：                                 联系电话：                 填表日期：</w:t>
      </w:r>
    </w:p>
    <w:p>
      <w:pPr>
        <w:spacing w:line="600" w:lineRule="exact"/>
        <w:rPr>
          <w:rFonts w:hint="eastAsia" w:ascii="黑体" w:hAnsi="黑体" w:eastAsia="黑体" w:cs="黑体"/>
          <w:bCs/>
          <w:sz w:val="32"/>
          <w:szCs w:val="32"/>
        </w:rPr>
      </w:pPr>
    </w:p>
    <w:p>
      <w:pPr>
        <w:spacing w:line="600" w:lineRule="exact"/>
        <w:rPr>
          <w:rFonts w:hint="eastAsia" w:ascii="黑体" w:hAnsi="黑体" w:eastAsia="黑体" w:cs="黑体"/>
          <w:bCs/>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C43DA"/>
    <w:rsid w:val="546D4A71"/>
    <w:rsid w:val="63A96489"/>
    <w:rsid w:val="6EDB669B"/>
    <w:rsid w:val="7CCC4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2020-08-26T07:09:00Z</dcterms:created>
  <dc:creator>Administrator</dc:creator>
  <cp:lastModifiedBy>Administrator</cp:lastModifiedBy>
  <dcterms:modified xsi:type="dcterms:W3CDTF">2020-08-26T07:44:01Z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